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2C60E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151890" cy="1072515"/>
            <wp:effectExtent l="0" t="0" r="10160" b="1333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F9C06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110B16C5">
      <w:pPr>
        <w:pStyle w:val="2"/>
        <w:spacing w:before="287" w:line="193" w:lineRule="auto"/>
        <w:ind w:left="553"/>
        <w:rPr>
          <w:sz w:val="27"/>
          <w:szCs w:val="27"/>
        </w:rPr>
      </w:pPr>
      <w:r>
        <w:rPr>
          <w:b/>
          <w:bCs/>
          <w:sz w:val="27"/>
          <w:szCs w:val="27"/>
        </w:rPr>
        <w:t>IDH</w:t>
      </w:r>
      <w:r>
        <w:rPr>
          <w:b/>
          <w:bCs/>
          <w:spacing w:val="6"/>
          <w:sz w:val="27"/>
          <w:szCs w:val="27"/>
        </w:rPr>
        <w:t>2 (R172G)</w:t>
      </w:r>
    </w:p>
    <w:p w14:paraId="354DF54E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>Catalog Number: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b/>
          <w:bCs/>
          <w:spacing w:val="-1"/>
        </w:rPr>
        <w:t xml:space="preserve"> </w:t>
      </w:r>
      <w:r>
        <w:rPr>
          <w:spacing w:val="-1"/>
        </w:rPr>
        <w:t>26321</w:t>
      </w:r>
    </w:p>
    <w:p w14:paraId="2AC6AC76">
      <w:pPr>
        <w:pStyle w:val="2"/>
        <w:spacing w:before="125" w:line="186" w:lineRule="auto"/>
        <w:ind w:left="556"/>
      </w:pPr>
      <w:r>
        <w:rPr>
          <w:b/>
          <w:bCs/>
        </w:rPr>
        <w:t xml:space="preserve">Gene Symbol: </w:t>
      </w:r>
      <w:r>
        <w:t>IDH2; D2HGA2; ICD-M; IDH; IDHM; IDP; ID</w:t>
      </w:r>
      <w:r>
        <w:rPr>
          <w:spacing w:val="-1"/>
        </w:rPr>
        <w:t>PM;</w:t>
      </w:r>
      <w:r>
        <w:rPr>
          <w:spacing w:val="1"/>
        </w:rPr>
        <w:t xml:space="preserve"> </w:t>
      </w:r>
      <w:r>
        <w:rPr>
          <w:spacing w:val="-1"/>
        </w:rPr>
        <w:t>mNADP-IDH</w:t>
      </w:r>
    </w:p>
    <w:p w14:paraId="4E05C537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Anti-IDH2 (R172G) Mouse Monoclonal</w:t>
      </w:r>
      <w:r>
        <w:rPr>
          <w:spacing w:val="-10"/>
        </w:rPr>
        <w:t xml:space="preserve"> </w:t>
      </w:r>
      <w:r>
        <w:t>Anti</w:t>
      </w:r>
      <w:r>
        <w:rPr>
          <w:spacing w:val="-1"/>
        </w:rPr>
        <w:t>body</w:t>
      </w:r>
    </w:p>
    <w:p w14:paraId="2F41ADE2">
      <w:pPr>
        <w:spacing w:before="46"/>
      </w:pPr>
    </w:p>
    <w:p w14:paraId="57AF11DE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0277E98D">
      <w:pPr>
        <w:pStyle w:val="2"/>
        <w:spacing w:before="55" w:line="292" w:lineRule="auto"/>
        <w:ind w:left="553" w:right="639" w:hanging="2"/>
      </w:pPr>
      <w:r>
        <w:rPr>
          <w:b/>
          <w:bCs/>
        </w:rPr>
        <w:t xml:space="preserve">Background: </w:t>
      </w:r>
      <w:r>
        <w:rPr>
          <w:u w:val="single" w:color="auto"/>
        </w:rPr>
        <w:t>I</w:t>
      </w:r>
      <w:r>
        <w:t xml:space="preserve">socitrate </w:t>
      </w:r>
      <w:r>
        <w:rPr>
          <w:u w:val="single" w:color="auto"/>
        </w:rPr>
        <w:t>deh</w:t>
      </w:r>
      <w:r>
        <w:t>ydrog</w:t>
      </w:r>
      <w:r>
        <w:rPr>
          <w:spacing w:val="-1"/>
        </w:rPr>
        <w:t>enase (IDH)</w:t>
      </w:r>
      <w:r>
        <w:t xml:space="preserve"> catalyze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oxidative</w:t>
      </w:r>
      <w:r>
        <w:rPr>
          <w:spacing w:val="3"/>
        </w:rPr>
        <w:t xml:space="preserve"> </w:t>
      </w:r>
      <w:r>
        <w:t>decarboxylation</w:t>
      </w:r>
      <w:r>
        <w:rPr>
          <w:spacing w:val="3"/>
        </w:rPr>
        <w:t xml:space="preserve"> </w:t>
      </w:r>
      <w:r>
        <w:t>of</w:t>
      </w:r>
    </w:p>
    <w:p w14:paraId="23C3582B">
      <w:pPr>
        <w:pStyle w:val="2"/>
        <w:spacing w:before="36" w:line="292" w:lineRule="auto"/>
        <w:ind w:left="553" w:right="651"/>
      </w:pPr>
      <w:r>
        <w:t>isocitrate to 2-oxoglutarate. The isocit</w:t>
      </w:r>
      <w:r>
        <w:rPr>
          <w:spacing w:val="-1"/>
        </w:rPr>
        <w:t>rate and</w:t>
      </w:r>
      <w:r>
        <w:t xml:space="preserve"> isopropylmalate dehydrogenases f</w:t>
      </w:r>
      <w:r>
        <w:rPr>
          <w:spacing w:val="-1"/>
        </w:rPr>
        <w:t>amily has</w:t>
      </w:r>
    </w:p>
    <w:p w14:paraId="6BE325BA">
      <w:pPr>
        <w:pStyle w:val="2"/>
        <w:spacing w:before="37" w:line="292" w:lineRule="auto"/>
        <w:ind w:left="547" w:right="644" w:firstLine="2"/>
      </w:pPr>
      <w:r>
        <w:t>three members, IDH1, IDH2 and I</w:t>
      </w:r>
      <w:r>
        <w:rPr>
          <w:spacing w:val="-1"/>
        </w:rPr>
        <w:t>DH3.</w:t>
      </w:r>
      <w:r>
        <w:rPr>
          <w:spacing w:val="5"/>
        </w:rPr>
        <w:t xml:space="preserve"> </w:t>
      </w:r>
      <w:r>
        <w:rPr>
          <w:spacing w:val="-1"/>
        </w:rPr>
        <w:t>IDH2</w:t>
      </w:r>
      <w:r>
        <w:t xml:space="preserve"> plays a role in intermediary metabolism and</w:t>
      </w:r>
    </w:p>
    <w:p w14:paraId="2E6893B9">
      <w:pPr>
        <w:pStyle w:val="2"/>
        <w:spacing w:before="36" w:line="276" w:lineRule="exact"/>
        <w:ind w:left="555"/>
      </w:pPr>
      <w:r>
        <w:rPr>
          <w:position w:val="3"/>
        </w:rPr>
        <w:t xml:space="preserve">energy production. Defects in </w:t>
      </w:r>
      <w:r>
        <w:rPr>
          <w:spacing w:val="-1"/>
          <w:position w:val="3"/>
        </w:rPr>
        <w:t>IDH2 are the</w:t>
      </w:r>
    </w:p>
    <w:p w14:paraId="0080A2F7">
      <w:pPr>
        <w:pStyle w:val="2"/>
        <w:spacing w:before="36" w:line="276" w:lineRule="exact"/>
        <w:ind w:left="554"/>
      </w:pPr>
      <w:r>
        <w:rPr>
          <w:position w:val="3"/>
        </w:rPr>
        <w:t>cause</w:t>
      </w:r>
      <w:r>
        <w:rPr>
          <w:spacing w:val="1"/>
          <w:position w:val="3"/>
        </w:rPr>
        <w:t xml:space="preserve"> </w:t>
      </w:r>
      <w:r>
        <w:rPr>
          <w:position w:val="3"/>
        </w:rPr>
        <w:t>of</w:t>
      </w:r>
      <w:r>
        <w:rPr>
          <w:spacing w:val="-12"/>
          <w:position w:val="3"/>
        </w:rPr>
        <w:t xml:space="preserve"> </w:t>
      </w:r>
      <w:r>
        <w:rPr>
          <w:position w:val="3"/>
        </w:rPr>
        <w:t>D</w:t>
      </w:r>
      <w:r>
        <w:rPr>
          <w:spacing w:val="1"/>
          <w:position w:val="3"/>
        </w:rPr>
        <w:t>-2-</w:t>
      </w:r>
      <w:r>
        <w:rPr>
          <w:position w:val="3"/>
        </w:rPr>
        <w:t>hydroxyglutaric</w:t>
      </w:r>
      <w:r>
        <w:rPr>
          <w:spacing w:val="1"/>
          <w:position w:val="3"/>
        </w:rPr>
        <w:t xml:space="preserve"> </w:t>
      </w:r>
      <w:r>
        <w:rPr>
          <w:position w:val="3"/>
        </w:rPr>
        <w:t>aciduria</w:t>
      </w:r>
      <w:r>
        <w:rPr>
          <w:spacing w:val="1"/>
          <w:position w:val="3"/>
        </w:rPr>
        <w:t xml:space="preserve"> </w:t>
      </w:r>
      <w:r>
        <w:rPr>
          <w:position w:val="3"/>
        </w:rPr>
        <w:t>type</w:t>
      </w:r>
      <w:r>
        <w:rPr>
          <w:spacing w:val="1"/>
          <w:position w:val="3"/>
        </w:rPr>
        <w:t xml:space="preserve"> 2</w:t>
      </w:r>
    </w:p>
    <w:p w14:paraId="0B68363E">
      <w:pPr>
        <w:pStyle w:val="2"/>
        <w:spacing w:before="36" w:line="298" w:lineRule="auto"/>
        <w:ind w:left="547" w:right="421" w:firstLine="9"/>
      </w:pPr>
      <w:r>
        <w:t>(D2HGA2).</w:t>
      </w:r>
      <w:r>
        <w:rPr>
          <w:spacing w:val="13"/>
          <w:w w:val="101"/>
        </w:rPr>
        <w:t xml:space="preserve"> </w:t>
      </w:r>
      <w:r>
        <w:t>Somatic mosaic mutations of</w:t>
      </w:r>
      <w:r>
        <w:rPr>
          <w:spacing w:val="-20"/>
        </w:rPr>
        <w:t xml:space="preserve"> </w:t>
      </w:r>
      <w:r>
        <w:t>t</w:t>
      </w:r>
      <w:r>
        <w:rPr>
          <w:spacing w:val="-1"/>
        </w:rPr>
        <w:t>his</w:t>
      </w:r>
      <w:r>
        <w:t xml:space="preserve">     protein have also been found associated t</w:t>
      </w:r>
      <w:r>
        <w:rPr>
          <w:spacing w:val="-1"/>
        </w:rPr>
        <w:t>o</w:t>
      </w:r>
      <w:r>
        <w:rPr>
          <w:spacing w:val="8"/>
        </w:rPr>
        <w:t xml:space="preserve"> </w:t>
      </w:r>
      <w:r>
        <w:rPr>
          <w:spacing w:val="-1"/>
        </w:rPr>
        <w:t>Ollier</w:t>
      </w:r>
      <w:r>
        <w:t xml:space="preserve"> disease and Maffucci syndrome, a</w:t>
      </w:r>
      <w:r>
        <w:rPr>
          <w:spacing w:val="-1"/>
        </w:rPr>
        <w:t>nd</w:t>
      </w:r>
      <w:r>
        <w:rPr>
          <w:spacing w:val="2"/>
        </w:rPr>
        <w:t xml:space="preserve"> </w:t>
      </w:r>
      <w:r>
        <w:rPr>
          <w:spacing w:val="-1"/>
        </w:rPr>
        <w:t>R172G</w:t>
      </w:r>
    </w:p>
    <w:p w14:paraId="3A0703F5">
      <w:pPr>
        <w:pStyle w:val="2"/>
        <w:spacing w:before="37" w:line="292" w:lineRule="auto"/>
        <w:ind w:left="553" w:right="500" w:hanging="1"/>
      </w:pPr>
      <w:r>
        <w:t>IDH2 mutations do exist in diffuse</w:t>
      </w:r>
      <w:r>
        <w:rPr>
          <w:spacing w:val="-1"/>
        </w:rPr>
        <w:t>ly</w:t>
      </w:r>
      <w:r>
        <w:rPr>
          <w:spacing w:val="6"/>
        </w:rPr>
        <w:t xml:space="preserve"> </w:t>
      </w:r>
      <w:r>
        <w:rPr>
          <w:spacing w:val="-1"/>
        </w:rPr>
        <w:t>infiltrative</w:t>
      </w:r>
      <w:r>
        <w:t xml:space="preserve"> </w:t>
      </w:r>
      <w:r>
        <w:rPr>
          <w:spacing w:val="-1"/>
        </w:rPr>
        <w:t>gliomas.</w:t>
      </w:r>
    </w:p>
    <w:p w14:paraId="3186A931">
      <w:pPr>
        <w:pStyle w:val="2"/>
        <w:spacing w:before="36" w:line="298" w:lineRule="auto"/>
        <w:ind w:left="549" w:right="906" w:firstLine="2"/>
      </w:pPr>
      <w:r>
        <w:rPr>
          <w:b/>
          <w:bCs/>
        </w:rPr>
        <w:t>Immunogen:</w:t>
      </w:r>
      <w:r>
        <w:rPr>
          <w:b/>
          <w:bCs/>
          <w:spacing w:val="-10"/>
        </w:rPr>
        <w:t xml:space="preserve"> </w:t>
      </w:r>
      <w:r>
        <w:t>A syntheti</w:t>
      </w:r>
      <w:r>
        <w:rPr>
          <w:spacing w:val="-1"/>
        </w:rPr>
        <w:t>c peptide from the</w:t>
      </w:r>
      <w:r>
        <w:t xml:space="preserve"> internal</w:t>
      </w:r>
      <w:r>
        <w:rPr>
          <w:spacing w:val="8"/>
        </w:rPr>
        <w:t xml:space="preserve"> </w:t>
      </w:r>
      <w:r>
        <w:t>region</w:t>
      </w:r>
      <w:r>
        <w:rPr>
          <w:spacing w:val="8"/>
        </w:rPr>
        <w:t xml:space="preserve"> </w:t>
      </w:r>
      <w:r>
        <w:t>ofIDH</w:t>
      </w:r>
      <w:r>
        <w:rPr>
          <w:spacing w:val="8"/>
        </w:rPr>
        <w:t xml:space="preserve">2 </w:t>
      </w:r>
      <w:r>
        <w:t>which</w:t>
      </w:r>
      <w:r>
        <w:rPr>
          <w:spacing w:val="8"/>
        </w:rPr>
        <w:t xml:space="preserve"> </w:t>
      </w:r>
      <w:r>
        <w:t>includes</w:t>
      </w:r>
      <w:r>
        <w:rPr>
          <w:spacing w:val="8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mutation of</w:t>
      </w:r>
      <w:r>
        <w:rPr>
          <w:spacing w:val="-17"/>
        </w:rPr>
        <w:t xml:space="preserve"> </w:t>
      </w:r>
      <w:r>
        <w:t>R172G, hum</w:t>
      </w:r>
      <w:r>
        <w:rPr>
          <w:spacing w:val="-1"/>
        </w:rPr>
        <w:t>an origin.</w:t>
      </w:r>
    </w:p>
    <w:p w14:paraId="33D456B1">
      <w:pPr>
        <w:pStyle w:val="2"/>
        <w:spacing w:before="106" w:line="292" w:lineRule="auto"/>
        <w:ind w:left="551" w:right="1186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68550E1B">
      <w:pPr>
        <w:pStyle w:val="2"/>
        <w:spacing w:before="36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5BEDA196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1:100-1:1000</w:t>
      </w:r>
    </w:p>
    <w:p w14:paraId="3F7B79C6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2EC628CA">
      <w:pPr>
        <w:pStyle w:val="2"/>
        <w:spacing w:before="56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7C2291E7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4D131588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42F297BD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 xml:space="preserve">Purified from </w:t>
      </w:r>
      <w:r>
        <w:rPr>
          <w:spacing w:val="-1"/>
          <w:position w:val="3"/>
        </w:rPr>
        <w:t>ascites</w:t>
      </w:r>
    </w:p>
    <w:p w14:paraId="5A695A1F">
      <w:pPr>
        <w:pStyle w:val="2"/>
        <w:spacing w:before="102" w:line="297" w:lineRule="auto"/>
        <w:ind w:left="558" w:right="3162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6FDD8796">
      <w:pPr>
        <w:pStyle w:val="2"/>
        <w:spacing w:before="24" w:line="190" w:lineRule="auto"/>
        <w:ind w:left="551"/>
      </w:pPr>
      <w:r>
        <w:rPr>
          <w:spacing w:val="-1"/>
        </w:rPr>
        <w:t>Preservative: no</w:t>
      </w:r>
    </w:p>
    <w:p w14:paraId="69E83CE5">
      <w:pPr>
        <w:pStyle w:val="2"/>
        <w:spacing w:before="56" w:line="280" w:lineRule="auto"/>
        <w:ind w:left="555" w:right="509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341F01C8">
      <w:pPr>
        <w:pStyle w:val="2"/>
        <w:spacing w:before="36" w:line="292" w:lineRule="auto"/>
        <w:ind w:left="547" w:right="538" w:firstLine="11"/>
      </w:pPr>
      <w:r>
        <w:rPr>
          <w:b/>
          <w:bCs/>
        </w:rPr>
        <w:t xml:space="preserve">Species Reactivity: </w:t>
      </w:r>
      <w:r>
        <w:t>recognizes R1</w:t>
      </w:r>
      <w:r>
        <w:rPr>
          <w:spacing w:val="-1"/>
        </w:rPr>
        <w:t>72G mutant,</w:t>
      </w:r>
      <w:r>
        <w:t xml:space="preserve"> but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wild</w:t>
      </w:r>
      <w:r>
        <w:rPr>
          <w:spacing w:val="3"/>
        </w:rPr>
        <w:t>-</w:t>
      </w:r>
      <w:r>
        <w:t>type</w:t>
      </w:r>
      <w:r>
        <w:rPr>
          <w:spacing w:val="3"/>
        </w:rPr>
        <w:t xml:space="preserve"> </w:t>
      </w:r>
      <w:r>
        <w:t>IDH</w:t>
      </w:r>
      <w:r>
        <w:rPr>
          <w:spacing w:val="3"/>
        </w:rPr>
        <w:t xml:space="preserve">2 </w:t>
      </w:r>
      <w:r>
        <w:t>of</w:t>
      </w:r>
      <w:r>
        <w:rPr>
          <w:spacing w:val="-19"/>
        </w:rPr>
        <w:t xml:space="preserve"> </w:t>
      </w:r>
      <w:r>
        <w:t>vertebrates</w:t>
      </w:r>
      <w:r>
        <w:rPr>
          <w:spacing w:val="3"/>
        </w:rPr>
        <w:t>.</w:t>
      </w:r>
    </w:p>
    <w:p w14:paraId="78C24BAF">
      <w:pPr>
        <w:pStyle w:val="2"/>
        <w:spacing w:before="103" w:line="190" w:lineRule="auto"/>
        <w:ind w:left="558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</w:p>
    <w:p w14:paraId="33E49D74">
      <w:pPr>
        <w:spacing w:line="55" w:lineRule="exact"/>
      </w:pPr>
    </w:p>
    <w:p w14:paraId="59BF857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95DDF02">
      <w:pPr>
        <w:pStyle w:val="2"/>
        <w:spacing w:before="77" w:line="276" w:lineRule="exact"/>
        <w:ind w:left="6"/>
      </w:pPr>
      <w:r>
        <w:rPr>
          <w:spacing w:val="-1"/>
          <w:position w:val="3"/>
        </w:rPr>
        <w:t>freeze / thaw cycles.</w:t>
      </w:r>
    </w:p>
    <w:p w14:paraId="7D43E956">
      <w:pPr>
        <w:pStyle w:val="2"/>
        <w:spacing w:before="111" w:line="183" w:lineRule="auto"/>
      </w:pPr>
      <w:r>
        <w:rPr>
          <w:b/>
          <w:bCs/>
          <w:spacing w:val="-1"/>
        </w:rPr>
        <w:t>Western blot:</w:t>
      </w:r>
    </w:p>
    <w:p w14:paraId="145D18CB">
      <w:pPr>
        <w:spacing w:before="242" w:line="216" w:lineRule="auto"/>
        <w:ind w:left="857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11"/>
          <w:sz w:val="22"/>
          <w:szCs w:val="22"/>
        </w:rPr>
        <w:t>ID</w:t>
      </w:r>
      <w:r>
        <w:rPr>
          <w:rFonts w:ascii="Arial" w:hAnsi="Arial" w:eastAsia="Arial" w:cs="Arial"/>
          <w:spacing w:val="-15"/>
          <w:sz w:val="22"/>
          <w:szCs w:val="22"/>
        </w:rPr>
        <w:t xml:space="preserve"> </w:t>
      </w:r>
      <w:r>
        <w:rPr>
          <w:rFonts w:ascii="Arial" w:hAnsi="Arial" w:eastAsia="Arial" w:cs="Arial"/>
          <w:spacing w:val="11"/>
          <w:sz w:val="22"/>
          <w:szCs w:val="22"/>
        </w:rPr>
        <w:t>H2proteins</w:t>
      </w:r>
    </w:p>
    <w:p w14:paraId="12983A56">
      <w:pPr>
        <w:spacing w:before="50" w:line="36" w:lineRule="exact"/>
        <w:ind w:left="877"/>
      </w:pPr>
      <w:r>
        <w:rPr>
          <w:position w:val="-1"/>
        </w:rPr>
        <w:drawing>
          <wp:inline distT="0" distB="0" distL="0" distR="0">
            <wp:extent cx="735965" cy="2222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091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BC732">
      <w:pPr>
        <w:spacing w:before="123" w:line="201" w:lineRule="exact"/>
        <w:ind w:firstLine="855"/>
      </w:pPr>
      <w:r>
        <w:rPr>
          <w:position w:val="-4"/>
        </w:rPr>
        <w:drawing>
          <wp:inline distT="0" distB="0" distL="0" distR="0">
            <wp:extent cx="767715" cy="12763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095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072BB">
      <w:pPr>
        <w:spacing w:before="72" w:line="1973" w:lineRule="exact"/>
        <w:ind w:firstLine="1093"/>
      </w:pPr>
      <w:r>
        <w:rPr>
          <w:position w:val="-39"/>
        </w:rPr>
        <w:drawing>
          <wp:inline distT="0" distB="0" distL="0" distR="0">
            <wp:extent cx="900430" cy="125222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0684" cy="125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629B0">
      <w:pPr>
        <w:spacing w:before="94" w:line="594" w:lineRule="exact"/>
        <w:ind w:firstLine="135"/>
      </w:pPr>
      <w:r>
        <w:rPr>
          <w:position w:val="-11"/>
        </w:rPr>
        <w:drawing>
          <wp:inline distT="0" distB="0" distL="0" distR="0">
            <wp:extent cx="1869440" cy="37719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9947" cy="37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2424B">
      <w:pPr>
        <w:pStyle w:val="2"/>
        <w:spacing w:before="184" w:line="276" w:lineRule="exact"/>
        <w:ind w:left="1"/>
      </w:pPr>
      <w:r>
        <w:rPr>
          <w:position w:val="3"/>
        </w:rPr>
        <w:t>Western blot analysis of</w:t>
      </w:r>
      <w:r>
        <w:rPr>
          <w:spacing w:val="-20"/>
          <w:position w:val="3"/>
        </w:rPr>
        <w:t xml:space="preserve"> </w:t>
      </w:r>
      <w:r>
        <w:rPr>
          <w:position w:val="3"/>
        </w:rPr>
        <w:t>recombinant IDH2</w:t>
      </w:r>
    </w:p>
    <w:p w14:paraId="00CCE7B0">
      <w:pPr>
        <w:pStyle w:val="2"/>
        <w:spacing w:before="36" w:line="276" w:lineRule="exact"/>
        <w:ind w:left="7"/>
      </w:pPr>
      <w:r>
        <w:rPr>
          <w:position w:val="3"/>
        </w:rPr>
        <w:t>(R172G) and wildtype proteins.</w:t>
      </w:r>
      <w:r>
        <w:rPr>
          <w:spacing w:val="-1"/>
          <w:position w:val="3"/>
        </w:rPr>
        <w:t xml:space="preserve"> Purified</w:t>
      </w:r>
    </w:p>
    <w:p w14:paraId="6A8129A4">
      <w:pPr>
        <w:pStyle w:val="2"/>
        <w:spacing w:before="36" w:line="276" w:lineRule="exact"/>
        <w:ind w:left="2"/>
      </w:pPr>
      <w:r>
        <w:rPr>
          <w:spacing w:val="-1"/>
          <w:position w:val="3"/>
        </w:rPr>
        <w:t>His-tagged IDH2 (R172G) (lane</w:t>
      </w:r>
      <w:r>
        <w:rPr>
          <w:spacing w:val="26"/>
          <w:position w:val="3"/>
        </w:rPr>
        <w:t xml:space="preserve"> </w:t>
      </w:r>
      <w:r>
        <w:rPr>
          <w:spacing w:val="-1"/>
          <w:position w:val="3"/>
        </w:rPr>
        <w:t>1)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a</w:t>
      </w:r>
      <w:r>
        <w:rPr>
          <w:spacing w:val="-2"/>
          <w:position w:val="3"/>
        </w:rPr>
        <w:t>nd</w:t>
      </w:r>
    </w:p>
    <w:p w14:paraId="01A3FD85">
      <w:pPr>
        <w:pStyle w:val="2"/>
        <w:spacing w:before="37" w:line="292" w:lineRule="auto"/>
        <w:ind w:right="949" w:firstLine="5"/>
      </w:pPr>
      <w:r>
        <w:t>corresponding wild-type IDH2 protein (</w:t>
      </w:r>
      <w:r>
        <w:rPr>
          <w:spacing w:val="-1"/>
        </w:rPr>
        <w:t>lane 2)</w:t>
      </w:r>
      <w:r>
        <w:t xml:space="preserve"> were blotted with anti-IDH2 (R172G)</w:t>
      </w:r>
    </w:p>
    <w:p w14:paraId="5DA41176">
      <w:pPr>
        <w:pStyle w:val="2"/>
        <w:spacing w:before="36" w:line="276" w:lineRule="exact"/>
      </w:pPr>
      <w:r>
        <w:rPr>
          <w:position w:val="3"/>
        </w:rPr>
        <w:t>monoclonal</w:t>
      </w:r>
      <w:r>
        <w:rPr>
          <w:spacing w:val="1"/>
          <w:position w:val="3"/>
        </w:rPr>
        <w:t xml:space="preserve"> </w:t>
      </w:r>
      <w:r>
        <w:rPr>
          <w:position w:val="3"/>
        </w:rPr>
        <w:t>antibody</w:t>
      </w:r>
      <w:r>
        <w:rPr>
          <w:spacing w:val="1"/>
          <w:position w:val="3"/>
        </w:rPr>
        <w:t xml:space="preserve"> (</w:t>
      </w:r>
      <w:r>
        <w:rPr>
          <w:position w:val="3"/>
        </w:rPr>
        <w:t>Cat</w:t>
      </w:r>
      <w:r>
        <w:rPr>
          <w:spacing w:val="1"/>
          <w:position w:val="3"/>
        </w:rPr>
        <w:t>. #26321).</w:t>
      </w:r>
    </w:p>
    <w:p w14:paraId="534FEDC8">
      <w:pPr>
        <w:spacing w:line="276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7"/>
          </w:cols>
        </w:sectPr>
      </w:pPr>
    </w:p>
    <w:p w14:paraId="007C40A9">
      <w:pPr>
        <w:spacing w:before="134"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491B5EDE">
      <w:pPr>
        <w:spacing w:before="141" w:line="249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028F9310">
      <w:pPr>
        <w:spacing w:line="118" w:lineRule="exact"/>
      </w:pPr>
    </w:p>
    <w:p w14:paraId="1E38C2F1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21B7CDFE">
      <w:pPr>
        <w:pStyle w:val="2"/>
        <w:spacing w:before="49" w:line="246" w:lineRule="auto"/>
        <w:ind w:left="230" w:right="1506" w:hanging="230"/>
      </w:pPr>
    </w:p>
    <w:p w14:paraId="39B9380F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0923684A">
      <w:pPr>
        <w:spacing w:line="1305" w:lineRule="exact"/>
        <w:ind w:firstLine="540"/>
      </w:pPr>
    </w:p>
    <w:p w14:paraId="6FAF2DB0">
      <w:pPr>
        <w:spacing w:before="189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6723013B">
      <w:pPr>
        <w:spacing w:line="262" w:lineRule="auto"/>
        <w:rPr>
          <w:rFonts w:ascii="Arial"/>
          <w:sz w:val="21"/>
        </w:rPr>
      </w:pPr>
    </w:p>
    <w:p w14:paraId="24242E71">
      <w:pPr>
        <w:spacing w:line="262" w:lineRule="auto"/>
        <w:rPr>
          <w:rFonts w:ascii="Arial"/>
          <w:sz w:val="21"/>
        </w:rPr>
      </w:pPr>
    </w:p>
    <w:p w14:paraId="2E2CB7C6">
      <w:pPr>
        <w:spacing w:line="262" w:lineRule="auto"/>
        <w:rPr>
          <w:rFonts w:ascii="Arial"/>
          <w:sz w:val="21"/>
        </w:rPr>
      </w:pPr>
    </w:p>
    <w:p w14:paraId="3084A99E">
      <w:pPr>
        <w:spacing w:line="262" w:lineRule="auto"/>
        <w:rPr>
          <w:rFonts w:ascii="Arial"/>
          <w:sz w:val="21"/>
        </w:rPr>
      </w:pPr>
    </w:p>
    <w:p w14:paraId="7CB413F4">
      <w:pPr>
        <w:pStyle w:val="2"/>
        <w:spacing w:before="61" w:line="186" w:lineRule="auto"/>
        <w:ind w:left="544"/>
      </w:pPr>
      <w:r>
        <w:rPr>
          <w:b/>
          <w:bCs/>
          <w:spacing w:val="-1"/>
        </w:rPr>
        <w:t>Immunofluorescence:</w:t>
      </w:r>
    </w:p>
    <w:p w14:paraId="6C72E39B">
      <w:pPr>
        <w:spacing w:before="224" w:line="4363" w:lineRule="exact"/>
        <w:ind w:firstLine="616"/>
      </w:pPr>
      <w:r>
        <w:rPr>
          <w:position w:val="-87"/>
        </w:rPr>
        <w:drawing>
          <wp:inline distT="0" distB="0" distL="0" distR="0">
            <wp:extent cx="2590165" cy="277050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0799" cy="277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A7C5B">
      <w:pPr>
        <w:pStyle w:val="2"/>
        <w:spacing w:before="215" w:line="275" w:lineRule="auto"/>
        <w:ind w:left="543" w:right="5422"/>
      </w:pPr>
      <w:r>
        <w:rPr>
          <w:b/>
          <w:bCs/>
        </w:rPr>
        <w:t>Immunofluorescence of cells ex</w:t>
      </w:r>
      <w:r>
        <w:rPr>
          <w:b/>
          <w:bCs/>
          <w:spacing w:val="-1"/>
        </w:rPr>
        <w:t>pressing IDH2</w:t>
      </w:r>
      <w:r>
        <w:rPr>
          <w:b/>
          <w:bCs/>
        </w:rPr>
        <w:t xml:space="preserve"> proteins with anti-IDH2 (R172G) </w:t>
      </w:r>
      <w:r>
        <w:rPr>
          <w:b/>
          <w:bCs/>
          <w:spacing w:val="-1"/>
        </w:rPr>
        <w:t>antibody.</w:t>
      </w:r>
    </w:p>
    <w:p w14:paraId="030CE69C">
      <w:pPr>
        <w:pStyle w:val="2"/>
        <w:spacing w:line="276" w:lineRule="exact"/>
        <w:ind w:left="543"/>
      </w:pPr>
      <w:r>
        <w:rPr>
          <w:position w:val="1"/>
        </w:rPr>
        <w:t>HEK293T cells were transfect</w:t>
      </w:r>
      <w:r>
        <w:rPr>
          <w:spacing w:val="-1"/>
          <w:position w:val="1"/>
        </w:rPr>
        <w:t>ed with</w:t>
      </w:r>
    </w:p>
    <w:p w14:paraId="23262087">
      <w:pPr>
        <w:pStyle w:val="2"/>
        <w:spacing w:before="37" w:line="298" w:lineRule="auto"/>
        <w:ind w:left="546" w:right="5243" w:hanging="7"/>
      </w:pPr>
      <w:r>
        <w:rPr>
          <w:spacing w:val="-1"/>
        </w:rPr>
        <w:t>pCDNA3-GFP-IDH2</w:t>
      </w:r>
      <w:r>
        <w:rPr>
          <w:spacing w:val="38"/>
          <w:w w:val="101"/>
        </w:rPr>
        <w:t xml:space="preserve"> </w:t>
      </w:r>
      <w:r>
        <w:rPr>
          <w:spacing w:val="-1"/>
        </w:rPr>
        <w:t>(WT)</w:t>
      </w:r>
      <w:r>
        <w:rPr>
          <w:spacing w:val="17"/>
          <w:w w:val="101"/>
        </w:rPr>
        <w:t xml:space="preserve"> </w:t>
      </w:r>
      <w:r>
        <w:rPr>
          <w:spacing w:val="-1"/>
        </w:rPr>
        <w:t>plasmid</w:t>
      </w:r>
      <w:r>
        <w:rPr>
          <w:spacing w:val="26"/>
        </w:rPr>
        <w:t xml:space="preserve"> </w:t>
      </w:r>
      <w:r>
        <w:rPr>
          <w:spacing w:val="-1"/>
        </w:rPr>
        <w:t>(left</w:t>
      </w:r>
      <w:r>
        <w:rPr>
          <w:spacing w:val="22"/>
          <w:w w:val="101"/>
        </w:rPr>
        <w:t xml:space="preserve"> </w:t>
      </w:r>
      <w:r>
        <w:rPr>
          <w:spacing w:val="-1"/>
        </w:rPr>
        <w:t>column)</w:t>
      </w:r>
      <w:r>
        <w:t xml:space="preserve"> or pCDNA3-GFP-IDH2 (R172G) plasmid (</w:t>
      </w:r>
      <w:r>
        <w:rPr>
          <w:spacing w:val="-1"/>
        </w:rPr>
        <w:t>right</w:t>
      </w:r>
      <w:r>
        <w:t xml:space="preserve">     column), then fixed and staine</w:t>
      </w:r>
      <w:r>
        <w:rPr>
          <w:spacing w:val="-1"/>
        </w:rPr>
        <w:t>d with</w:t>
      </w:r>
      <w:r>
        <w:rPr>
          <w:spacing w:val="7"/>
        </w:rPr>
        <w:t xml:space="preserve"> </w:t>
      </w:r>
      <w:r>
        <w:rPr>
          <w:spacing w:val="-1"/>
        </w:rPr>
        <w:t>anti-IDH2</w:t>
      </w:r>
    </w:p>
    <w:p w14:paraId="5E3030EC">
      <w:pPr>
        <w:pStyle w:val="2"/>
        <w:spacing w:before="36" w:line="276" w:lineRule="exact"/>
        <w:ind w:left="548"/>
      </w:pPr>
      <w:r>
        <w:rPr>
          <w:position w:val="3"/>
        </w:rPr>
        <w:t>(R172G) monoclonal antibody (Cat. #26321).</w:t>
      </w:r>
      <w:bookmarkStart w:id="0" w:name="_GoBack"/>
      <w:bookmarkEnd w:id="0"/>
    </w:p>
    <w:sectPr>
      <w:footerReference r:id="rId5" w:type="default"/>
      <w:pgSz w:w="11905" w:h="16840"/>
      <w:pgMar w:top="850" w:right="594" w:bottom="2316" w:left="1260" w:header="0" w:footer="12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0C7112BB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B2B7B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276</Words>
  <Characters>1794</Characters>
  <TotalTime>1</TotalTime>
  <ScaleCrop>false</ScaleCrop>
  <LinksUpToDate>false</LinksUpToDate>
  <CharactersWithSpaces>2060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2013-07-26T15:31:00Z</dcterms:created>
  <dc:creator>Administrator</dc:creator>
  <cp:lastModifiedBy>周亿福</cp:lastModifiedBy>
  <dcterms:modified xsi:type="dcterms:W3CDTF">2025-08-14T07:50:06Z</dcterms:modified>
  <dc:title>Microsoft Word - 26321 IDH2_R172G_ mAb.doc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2025-08-14T11:00:41Z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85A7B76459E3470098A2C669FF86C8BC_12</vt:lpwstr>
  </property>
</Properties>
</file>